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2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Puerto Rico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Comer en familia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No school - President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Day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Students will turn in Menu Project. Revisit the regular -er, -ir verb endings. Review for tomorrow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quiz.  Conjugations ONLY. As a class go over wktk pp. 105-107.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Start class with verb conjugation practice using quizizz activity. Take quiz on regular -er/-ir verbs. Revisit ALL regular verbs.  Show students how ALL regular verbs can now be correctly conjugated.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Introduce interrogative words, other words and phrases, and words of feeling on p. 159.  Begin chapter review, repaso de la lecci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 pp.160-161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 on vocab interrogatives and other words and phrases. Finish chapter review as a class.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944" w:hanging="1944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