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Semester 2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Let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Review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Can you say this?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088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5"/>
        <w:gridCol w:w="9643"/>
      </w:tblGrid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create coherent sentences using ir and estar.</w:t>
            </w:r>
          </w:p>
        </w:tc>
      </w:tr>
      <w:tr>
        <w:tblPrEx>
          <w:shd w:val="clear" w:color="auto" w:fill="ced7e7"/>
        </w:tblPrEx>
        <w:trPr>
          <w:trHeight w:val="386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basic greetings (review words)</w:t>
            </w:r>
          </w:p>
        </w:tc>
      </w:tr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Why is Spanish so much easier to pronounce than English?</w:t>
            </w:r>
          </w:p>
        </w:tc>
      </w:tr>
    </w:tbl>
    <w:p>
      <w:pPr>
        <w:pStyle w:val="Body A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ind w:left="1944" w:hanging="1944"/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2052" w:hanging="2052"/>
      </w:pPr>
    </w:p>
    <w:p>
      <w:pPr>
        <w:pStyle w:val="Body A"/>
        <w:ind w:left="1944" w:hanging="1944"/>
      </w:pPr>
    </w:p>
    <w:p>
      <w:pPr>
        <w:pStyle w:val="Body A"/>
        <w:ind w:left="432" w:hanging="432"/>
      </w:pPr>
    </w:p>
    <w:tbl>
      <w:tblPr>
        <w:tblW w:w="1108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1"/>
        <w:gridCol w:w="9527"/>
      </w:tblGrid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Review of proper pronunciation using basic greetings and introductions as vocabulary. Remind students of quiz on Friday.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lang w:val="en-US"/>
              </w:rPr>
            </w:pPr>
            <w:r>
              <w:rPr>
                <w:rtl w:val="0"/>
                <w:lang w:val="en-US"/>
              </w:rPr>
              <w:t>Quiz over rules for pronunciation and meanings of basic greetings and good-byes</w:t>
            </w:r>
          </w:p>
          <w:p>
            <w:pPr>
              <w:pStyle w:val="Body C"/>
            </w:pPr>
            <w:r>
              <w:rPr>
                <w:rtl w:val="0"/>
                <w:lang w:val="en-US"/>
              </w:rPr>
              <w:t>Review numbers 0-100, weather phrases, article/nun adjective agreement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Online review activity for numbers 0-100, weather phrases, as well as article noun/adjective agreement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Quiz on numbers 0-100, weather phrases and article noun adjective agreement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No School</w:t>
            </w:r>
          </w:p>
        </w:tc>
      </w:tr>
    </w:tbl>
    <w:p>
      <w:pPr>
        <w:pStyle w:val="Body A"/>
        <w:ind w:left="432" w:hanging="432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tl w:val="0"/>
                <w:lang w:val="en-US"/>
              </w:rPr>
              <w:t>Quiz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2052" w:hanging="2052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