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Week 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Semester 2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To Be or NOT To Be</w:t>
            </w:r>
          </w:p>
        </w:tc>
      </w:tr>
      <w:tr>
        <w:tblPrEx>
          <w:shd w:val="clear" w:color="auto" w:fill="ced7e7"/>
        </w:tblPrEx>
        <w:trPr>
          <w:trHeight w:val="52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Ser contra Estar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ir and estar.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nouns//adjs that go with her and star</w:t>
            </w:r>
          </w:p>
        </w:tc>
      </w:tr>
      <w:tr>
        <w:tblPrEx>
          <w:shd w:val="clear" w:color="auto" w:fill="ced7e7"/>
        </w:tblPrEx>
        <w:trPr>
          <w:trHeight w:val="91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Why is there more than one way to say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to be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in Spanish?</w:t>
            </w:r>
          </w:p>
        </w:tc>
      </w:tr>
    </w:tbl>
    <w:p>
      <w:pPr>
        <w:pStyle w:val="Body A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728" w:hanging="1728"/>
      </w:pPr>
    </w:p>
    <w:p>
      <w:pPr>
        <w:pStyle w:val="Body A"/>
        <w:ind w:left="1620" w:hanging="1620"/>
      </w:pPr>
    </w:p>
    <w:p>
      <w:pPr>
        <w:pStyle w:val="Body A"/>
        <w:ind w:left="1512" w:hanging="1512"/>
      </w:pPr>
    </w:p>
    <w:p>
      <w:pPr>
        <w:pStyle w:val="Body A"/>
        <w:ind w:left="1404" w:hanging="1404"/>
      </w:pPr>
    </w:p>
    <w:p>
      <w:pPr>
        <w:pStyle w:val="Body A"/>
        <w:ind w:left="1296" w:hanging="1296"/>
      </w:pPr>
    </w:p>
    <w:p>
      <w:pPr>
        <w:pStyle w:val="Body A"/>
        <w:ind w:left="1188" w:hanging="1188"/>
      </w:pPr>
    </w:p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9351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7"/>
        <w:gridCol w:w="8034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Fonts w:ascii="Times New Roman" w:hAnsi="Times New Roman"/>
                <w:rtl w:val="0"/>
              </w:rPr>
              <w:t>Go over answers to handouts from previous week.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Introduce present progressive as well as possessive pronouns</w:t>
            </w:r>
            <w:r>
              <w:rPr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Quiz on ser v estar with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DoctorP/Camel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notes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Handout on possessive adjectives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  <w:rPr>
                <w:lang w:val="en-US"/>
              </w:rPr>
            </w:pPr>
            <w:r>
              <w:rPr>
                <w:rtl w:val="0"/>
                <w:lang w:val="en-US"/>
              </w:rPr>
              <w:t>Review handout over possessive adjectives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Working in small groups on handout over present progressive verbs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Review answers to present progressive handout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memrise on verbs we are using with present progressive</w:t>
            </w:r>
          </w:p>
        </w:tc>
      </w:tr>
    </w:tbl>
    <w:p>
      <w:pPr>
        <w:pStyle w:val="Body A"/>
        <w:ind w:left="1728" w:hanging="1728"/>
        <w:rPr>
          <w:sz w:val="20"/>
          <w:szCs w:val="20"/>
        </w:rPr>
      </w:pPr>
    </w:p>
    <w:p>
      <w:pPr>
        <w:pStyle w:val="Body A"/>
        <w:ind w:left="1620" w:hanging="1620"/>
        <w:rPr>
          <w:sz w:val="20"/>
          <w:szCs w:val="20"/>
        </w:rPr>
      </w:pPr>
    </w:p>
    <w:p>
      <w:pPr>
        <w:pStyle w:val="Body A"/>
        <w:ind w:left="1512" w:hanging="1512"/>
        <w:rPr>
          <w:sz w:val="20"/>
          <w:szCs w:val="20"/>
        </w:rPr>
      </w:pPr>
    </w:p>
    <w:p>
      <w:pPr>
        <w:pStyle w:val="Body A"/>
        <w:ind w:left="1404" w:hanging="1404"/>
        <w:rPr>
          <w:sz w:val="20"/>
          <w:szCs w:val="20"/>
        </w:rPr>
      </w:pPr>
    </w:p>
    <w:p>
      <w:pPr>
        <w:pStyle w:val="Body A"/>
        <w:ind w:left="1296" w:hanging="1296"/>
        <w:rPr>
          <w:sz w:val="20"/>
          <w:szCs w:val="20"/>
        </w:rPr>
      </w:pPr>
    </w:p>
    <w:p>
      <w:pPr>
        <w:pStyle w:val="Body A"/>
        <w:ind w:left="1188" w:hanging="1188"/>
        <w:rPr>
          <w:sz w:val="20"/>
          <w:szCs w:val="20"/>
        </w:rPr>
      </w:pPr>
    </w:p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Test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5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728" w:hanging="1728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