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Present Tense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Los Verbos </w:t>
            </w:r>
            <w:r>
              <w:rPr>
                <w:rtl w:val="0"/>
                <w:lang w:val="en-US"/>
              </w:rPr>
              <w:t>Ir and Estar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tener expressions.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telling time vocab, classroom activities, subjects</w:t>
            </w:r>
          </w:p>
        </w:tc>
      </w:tr>
      <w:tr>
        <w:tblPrEx>
          <w:shd w:val="clear" w:color="auto" w:fill="ced7e7"/>
        </w:tblPrEx>
        <w:trPr>
          <w:trHeight w:val="87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it important to change the form of the verb when creating sentences?</w:t>
            </w:r>
          </w:p>
        </w:tc>
      </w:tr>
    </w:tbl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296" w:hanging="1296"/>
      </w:pPr>
    </w:p>
    <w:p>
      <w:pPr>
        <w:pStyle w:val="Body A"/>
        <w:ind w:left="1188" w:hanging="1188"/>
      </w:pPr>
    </w:p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President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Day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Students will work in small groups on packets that cover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ir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 xml:space="preserve">and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estar</w:t>
            </w:r>
            <w:r>
              <w:rPr>
                <w:rtl w:val="0"/>
                <w:lang w:val="en-US"/>
              </w:rPr>
              <w:t>”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Remind students about quiz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Benchmark/ACT test day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I will go over ir and estar packets with students that meet for my class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Quiz on conjugations of ir and estar. </w:t>
            </w:r>
            <w:r>
              <w:rPr>
                <w:rtl w:val="0"/>
                <w:lang w:val="en-US"/>
              </w:rPr>
              <w:t>Review</w:t>
            </w:r>
            <w:r>
              <w:rPr>
                <w:rtl w:val="0"/>
                <w:lang w:val="en-US"/>
              </w:rPr>
              <w:t xml:space="preserve"> adjectives of feelings.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Memrise vocabulary (classroom objects and locations in a school)</w:t>
            </w:r>
          </w:p>
        </w:tc>
      </w:tr>
    </w:tbl>
    <w:p>
      <w:pPr>
        <w:pStyle w:val="Body A"/>
        <w:ind w:left="1296" w:hanging="1296"/>
        <w:rPr>
          <w:sz w:val="20"/>
          <w:szCs w:val="20"/>
        </w:rPr>
      </w:pPr>
    </w:p>
    <w:p>
      <w:pPr>
        <w:pStyle w:val="Body A"/>
        <w:ind w:left="1188" w:hanging="1188"/>
        <w:rPr>
          <w:sz w:val="20"/>
          <w:szCs w:val="20"/>
        </w:rPr>
      </w:pPr>
    </w:p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Test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296" w:hanging="129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