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Semester 2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Present Tense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Los Verbos Regulares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create coherent sentences using tener expressions.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telling time vocab, classroom activities, subjects</w:t>
            </w:r>
          </w:p>
        </w:tc>
      </w:tr>
      <w:tr>
        <w:tblPrEx>
          <w:shd w:val="clear" w:color="auto" w:fill="ced7e7"/>
        </w:tblPrEx>
        <w:trPr>
          <w:trHeight w:val="84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Why is it important to change the form of the verb when creating sentences?</w:t>
            </w:r>
          </w:p>
        </w:tc>
      </w:tr>
    </w:tbl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972" w:hanging="972"/>
      </w:pPr>
    </w:p>
    <w:p>
      <w:pPr>
        <w:pStyle w:val="Body A"/>
        <w:ind w:left="864" w:hanging="864"/>
      </w:pPr>
    </w:p>
    <w:p>
      <w:pPr>
        <w:pStyle w:val="Body A"/>
        <w:ind w:left="756" w:hanging="756"/>
      </w:pPr>
    </w:p>
    <w:p>
      <w:pPr>
        <w:pStyle w:val="Body A"/>
        <w:ind w:left="648" w:hanging="648"/>
      </w:pPr>
    </w:p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Introduction of prepositions in, on, at, to, with. Explanation of Regular Verbs slide project.  Review vocal for tomorrow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quiz.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Fonts w:ascii="Times New Roman" w:cs="Arial Unicode MS" w:hAnsi="Times New Roman" w:eastAsia="Arial Unicode MS"/>
                <w:rtl w:val="0"/>
              </w:rPr>
              <w:t>Quiz on meanings of regular -er and -ir verbs. Introduce verb endings for regular -er and -ir verbs.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Quiz on conjugations of regular -er and -ir verbs. Students will work on projects following the quiz.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Students will work on projects they entire class period.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Quiz on regular verbs. Introduce estar - to be and ir - to go</w:t>
            </w:r>
          </w:p>
        </w:tc>
      </w:tr>
    </w:tbl>
    <w:p>
      <w:pPr>
        <w:pStyle w:val="Body A"/>
        <w:ind w:left="972" w:hanging="972"/>
        <w:rPr>
          <w:sz w:val="20"/>
          <w:szCs w:val="20"/>
        </w:rPr>
      </w:pPr>
    </w:p>
    <w:p>
      <w:pPr>
        <w:pStyle w:val="Body A"/>
        <w:ind w:left="864" w:hanging="864"/>
        <w:rPr>
          <w:sz w:val="20"/>
          <w:szCs w:val="20"/>
        </w:rPr>
      </w:pPr>
    </w:p>
    <w:p>
      <w:pPr>
        <w:pStyle w:val="Body A"/>
        <w:ind w:left="756" w:hanging="756"/>
        <w:rPr>
          <w:sz w:val="20"/>
          <w:szCs w:val="20"/>
        </w:rPr>
      </w:pPr>
    </w:p>
    <w:p>
      <w:pPr>
        <w:pStyle w:val="Body A"/>
        <w:ind w:left="648" w:hanging="648"/>
        <w:rPr>
          <w:sz w:val="20"/>
          <w:szCs w:val="20"/>
        </w:rPr>
      </w:pPr>
    </w:p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rtl w:val="0"/>
                <w:lang w:val="en-US"/>
              </w:rPr>
              <w:t xml:space="preserve">Quiz, </w:t>
            </w:r>
            <w:r>
              <w:rPr>
                <w:rtl w:val="0"/>
                <w:lang w:val="en-US"/>
              </w:rPr>
              <w:t>project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972" w:hanging="972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