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5"/>
        <w:gridCol w:w="40"/>
        <w:gridCol w:w="40"/>
        <w:gridCol w:w="20"/>
      </w:tblGrid>
      <w:tr w:rsidR="002E336E" w:rsidTr="008B2742">
        <w:trPr>
          <w:gridAfter w:val="1"/>
          <w:wAfter w:w="20" w:type="dxa"/>
        </w:trPr>
        <w:tc>
          <w:tcPr>
            <w:tcW w:w="2394" w:type="dxa"/>
            <w:shd w:val="clear" w:color="auto" w:fill="auto"/>
            <w:vAlign w:val="bottom"/>
          </w:tcPr>
          <w:p w:rsidR="002E336E" w:rsidRDefault="002E336E" w:rsidP="008B2742">
            <w:pPr>
              <w:spacing w:before="240" w:line="100" w:lineRule="atLeast"/>
              <w:jc w:val="right"/>
            </w:pPr>
            <w:r>
              <w:t>Teacher: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shd w:val="clear" w:color="auto" w:fill="auto"/>
          </w:tcPr>
          <w:p w:rsidR="002E336E" w:rsidRDefault="002E336E" w:rsidP="008B2742">
            <w:pPr>
              <w:spacing w:before="240" w:line="100" w:lineRule="atLeast"/>
            </w:pPr>
            <w:r>
              <w:t>Coty Pratt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2E336E" w:rsidRDefault="002E336E" w:rsidP="008B2742">
            <w:pPr>
              <w:spacing w:before="240" w:line="100" w:lineRule="atLeast"/>
              <w:jc w:val="right"/>
            </w:pPr>
            <w:r>
              <w:t>Grade Level: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auto"/>
          </w:tcPr>
          <w:p w:rsidR="002E336E" w:rsidRDefault="002E336E" w:rsidP="008B2742">
            <w:pPr>
              <w:spacing w:before="240" w:line="100" w:lineRule="atLeast"/>
            </w:pPr>
            <w:r>
              <w:t>Spanish 1</w:t>
            </w:r>
          </w:p>
        </w:tc>
        <w:tc>
          <w:tcPr>
            <w:tcW w:w="40" w:type="dxa"/>
            <w:shd w:val="clear" w:color="auto" w:fill="auto"/>
          </w:tcPr>
          <w:p w:rsidR="002E336E" w:rsidRDefault="002E336E" w:rsidP="008B274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336E" w:rsidRDefault="002E336E" w:rsidP="008B2742">
            <w:pPr>
              <w:snapToGrid w:val="0"/>
            </w:pPr>
          </w:p>
        </w:tc>
      </w:tr>
      <w:tr w:rsidR="002E336E" w:rsidTr="008B2742">
        <w:trPr>
          <w:gridAfter w:val="1"/>
          <w:wAfter w:w="20" w:type="dxa"/>
        </w:trPr>
        <w:tc>
          <w:tcPr>
            <w:tcW w:w="2394" w:type="dxa"/>
            <w:shd w:val="clear" w:color="auto" w:fill="auto"/>
          </w:tcPr>
          <w:p w:rsidR="002E336E" w:rsidRDefault="002E336E" w:rsidP="008B2742">
            <w:pPr>
              <w:spacing w:before="240" w:line="100" w:lineRule="atLeast"/>
              <w:rPr>
                <w:sz w:val="21"/>
                <w:szCs w:val="21"/>
              </w:rPr>
            </w:pPr>
            <w:r>
              <w:t>TEKS:</w:t>
            </w:r>
          </w:p>
        </w:tc>
        <w:tc>
          <w:tcPr>
            <w:tcW w:w="718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E336E" w:rsidRDefault="002E336E" w:rsidP="008B2742">
            <w:pPr>
              <w:spacing w:before="240" w:line="100" w:lineRule="atLeast"/>
            </w:pPr>
            <w:r>
              <w:rPr>
                <w:sz w:val="21"/>
                <w:szCs w:val="21"/>
              </w:rPr>
              <w:t xml:space="preserve">01.A.01-03, 05; 01.B.01-02, 01.C.03-06; 02.A.01; 02.B.01; 03.B.02; 04.A; 04.B; </w:t>
            </w:r>
          </w:p>
        </w:tc>
        <w:tc>
          <w:tcPr>
            <w:tcW w:w="40" w:type="dxa"/>
            <w:shd w:val="clear" w:color="auto" w:fill="auto"/>
          </w:tcPr>
          <w:p w:rsidR="002E336E" w:rsidRDefault="002E336E" w:rsidP="008B274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336E" w:rsidRDefault="002E336E" w:rsidP="008B2742">
            <w:pPr>
              <w:snapToGrid w:val="0"/>
            </w:pPr>
          </w:p>
        </w:tc>
      </w:tr>
      <w:tr w:rsidR="002E336E" w:rsidTr="008B2742">
        <w:trPr>
          <w:gridAfter w:val="1"/>
          <w:wAfter w:w="20" w:type="dxa"/>
        </w:trPr>
        <w:tc>
          <w:tcPr>
            <w:tcW w:w="95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E336E" w:rsidRDefault="002E336E" w:rsidP="008B2742">
            <w:pPr>
              <w:snapToGrid w:val="0"/>
              <w:spacing w:line="100" w:lineRule="atLeast"/>
            </w:pPr>
          </w:p>
        </w:tc>
        <w:tc>
          <w:tcPr>
            <w:tcW w:w="40" w:type="dxa"/>
            <w:shd w:val="clear" w:color="auto" w:fill="auto"/>
          </w:tcPr>
          <w:p w:rsidR="002E336E" w:rsidRDefault="002E336E" w:rsidP="008B274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336E" w:rsidRDefault="002E336E" w:rsidP="008B2742">
            <w:pPr>
              <w:snapToGrid w:val="0"/>
            </w:pP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#1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ind w:left="-108"/>
            </w:pPr>
            <w:r>
              <w:rPr>
                <w:b/>
                <w:sz w:val="28"/>
                <w:szCs w:val="28"/>
              </w:rPr>
              <w:t>What do we expect every student to learn?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ind w:left="90"/>
            </w:pPr>
            <w:r>
              <w:rPr>
                <w:b/>
                <w:i/>
              </w:rPr>
              <w:t>Standards – What should students know, understand and be able to do as a result of the lesson?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6E" w:rsidRDefault="002E336E" w:rsidP="008B2742">
            <w:pPr>
              <w:spacing w:line="100" w:lineRule="atLeast"/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K-Students should know how to apply all of the information learned this year. </w:t>
            </w:r>
          </w:p>
          <w:p w:rsidR="002E336E" w:rsidRDefault="002E336E" w:rsidP="008B27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100" w:lineRule="atLeast"/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U-Students should be able to understand the how to combine the vocabulary we have learned with the grammar concepts we have learned.</w:t>
            </w:r>
          </w:p>
          <w:p w:rsidR="002E336E" w:rsidRDefault="002E336E" w:rsidP="008B27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100" w:lineRule="atLeast"/>
              <w:rPr>
                <w:i/>
              </w:rPr>
            </w:pP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Do-Students will complete basic conversations using regular verbs along with adjective/noun agreement. </w:t>
            </w:r>
          </w:p>
          <w:p w:rsidR="002E336E" w:rsidRDefault="002E336E" w:rsidP="008B2742">
            <w:pPr>
              <w:spacing w:line="100" w:lineRule="atLeast"/>
              <w:rPr>
                <w:i/>
              </w:rPr>
            </w:pP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#2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ind w:left="-108"/>
            </w:pPr>
            <w:r>
              <w:rPr>
                <w:b/>
                <w:sz w:val="28"/>
                <w:szCs w:val="28"/>
              </w:rPr>
              <w:t>How will we know the student has learned it?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Performance task – What will students do to show what they have learned?</w:t>
            </w:r>
          </w:p>
          <w:p w:rsidR="002E336E" w:rsidRDefault="002E336E" w:rsidP="008B2742">
            <w:pPr>
              <w:spacing w:line="100" w:lineRule="atLeast"/>
            </w:pPr>
            <w:r>
              <w:rPr>
                <w:b/>
                <w:i/>
              </w:rPr>
              <w:t>Performance criteria – What should students be able to demonstrate to show mastery?  How can it be demonstrated?  What is our mastery standard?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6E" w:rsidRDefault="002E336E" w:rsidP="002E336E">
            <w:pPr>
              <w:spacing w:line="100" w:lineRule="atLeast"/>
            </w:pP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Students will </w:t>
            </w: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be reviewed on the key concepts learned throughout the first term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ind w:left="90"/>
              <w:jc w:val="center"/>
            </w:pPr>
            <w:r>
              <w:rPr>
                <w:b/>
              </w:rPr>
              <w:t>Design Instruction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ind w:left="90"/>
            </w:pPr>
            <w:r>
              <w:rPr>
                <w:b/>
                <w:i/>
              </w:rPr>
              <w:t xml:space="preserve">Learning activities 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6E" w:rsidRDefault="002E336E" w:rsidP="00107913">
            <w:pPr>
              <w:spacing w:line="100" w:lineRule="atLeast"/>
            </w:pP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Students will be taking a </w:t>
            </w:r>
            <w:r w:rsidR="00107913"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diagnostic</w:t>
            </w: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 test that will informally assess the knowledge they </w:t>
            </w:r>
            <w:r w:rsidR="00107913"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remember from term 1</w:t>
            </w: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.  Teacher will review weak areas from the </w:t>
            </w:r>
            <w:r w:rsidR="00107913"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diagnostic </w:t>
            </w: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test with students in order to strengthen their abilities for the </w:t>
            </w:r>
            <w:r w:rsidR="00107913"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second term progressions</w:t>
            </w:r>
            <w:bookmarkStart w:id="0" w:name="_GoBack"/>
            <w:bookmarkEnd w:id="0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#3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ind w:left="-108"/>
            </w:pPr>
            <w:r>
              <w:rPr>
                <w:b/>
                <w:sz w:val="28"/>
                <w:szCs w:val="28"/>
              </w:rPr>
              <w:t>What will we do if they don’t learn it?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ind w:left="90"/>
            </w:pPr>
            <w:r>
              <w:rPr>
                <w:b/>
                <w:i/>
              </w:rPr>
              <w:t xml:space="preserve">Design prescriptive interventions beginning at Tier 1. 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6E" w:rsidRDefault="002E336E" w:rsidP="008B2742">
            <w:pPr>
              <w:spacing w:line="100" w:lineRule="atLeast"/>
            </w:pP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Students will be given additional notes to add to those taken in class.  In addition, </w:t>
            </w:r>
            <w:proofErr w:type="spellStart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their</w:t>
            </w:r>
            <w:proofErr w:type="spellEnd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 will be additional resources provided to students, such as supplemental explanations on </w:t>
            </w:r>
            <w:proofErr w:type="spellStart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youtube</w:t>
            </w:r>
            <w:proofErr w:type="spellEnd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powerpoint</w:t>
            </w:r>
            <w:proofErr w:type="spellEnd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 explanations, practice quizzes, games that allow additional practice, and </w:t>
            </w:r>
            <w:proofErr w:type="spellStart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quizlet</w:t>
            </w:r>
            <w:proofErr w:type="spellEnd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 flashcards.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#4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ind w:left="-108"/>
            </w:pPr>
            <w:r>
              <w:rPr>
                <w:b/>
                <w:sz w:val="28"/>
                <w:szCs w:val="28"/>
              </w:rPr>
              <w:t>What will we do if they already know it?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36E" w:rsidRDefault="002E336E" w:rsidP="008B2742">
            <w:pPr>
              <w:spacing w:line="100" w:lineRule="atLeast"/>
              <w:ind w:left="90"/>
            </w:pPr>
            <w:r>
              <w:rPr>
                <w:b/>
                <w:i/>
              </w:rPr>
              <w:t xml:space="preserve">Enrich and extend instruction. </w:t>
            </w:r>
          </w:p>
        </w:tc>
      </w:tr>
      <w:tr w:rsidR="002E336E" w:rsidTr="008B2742">
        <w:tblPrEx>
          <w:tblCellMar>
            <w:left w:w="108" w:type="dxa"/>
            <w:right w:w="108" w:type="dxa"/>
          </w:tblCellMar>
        </w:tblPrEx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6E" w:rsidRDefault="002E336E" w:rsidP="008B2742">
            <w:pPr>
              <w:spacing w:line="100" w:lineRule="atLeast"/>
              <w:rPr>
                <w:i/>
              </w:rPr>
            </w:pPr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Once topic mastery has been proven to teacher, students will be sent to </w:t>
            </w:r>
            <w:proofErr w:type="spellStart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Duolingo</w:t>
            </w:r>
            <w:proofErr w:type="spellEnd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 and/or </w:t>
            </w:r>
            <w:proofErr w:type="spellStart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>Babbel</w:t>
            </w:r>
            <w:proofErr w:type="spellEnd"/>
            <w:r>
              <w:rPr>
                <w:rFonts w:ascii="TrebuchetMS-Italic" w:eastAsia="TrebuchetMS-Italic" w:hAnsi="TrebuchetMS-Italic" w:cs="TrebuchetMS-Italic"/>
                <w:i/>
                <w:iCs/>
                <w:color w:val="000000"/>
                <w:sz w:val="22"/>
                <w:szCs w:val="22"/>
              </w:rPr>
              <w:t xml:space="preserve"> to continue their self-paced supplemental instruction.</w:t>
            </w:r>
          </w:p>
          <w:p w:rsidR="002E336E" w:rsidRDefault="002E336E" w:rsidP="008B2742">
            <w:pPr>
              <w:spacing w:line="100" w:lineRule="atLeast"/>
              <w:rPr>
                <w:i/>
              </w:rPr>
            </w:pPr>
          </w:p>
          <w:p w:rsidR="002E336E" w:rsidRDefault="002E336E" w:rsidP="008B2742">
            <w:pPr>
              <w:spacing w:line="100" w:lineRule="atLeast"/>
              <w:rPr>
                <w:i/>
              </w:rPr>
            </w:pPr>
          </w:p>
          <w:p w:rsidR="002E336E" w:rsidRDefault="002E336E" w:rsidP="008B2742">
            <w:pPr>
              <w:spacing w:line="100" w:lineRule="atLeast"/>
              <w:rPr>
                <w:i/>
              </w:rPr>
            </w:pPr>
          </w:p>
          <w:p w:rsidR="002E336E" w:rsidRDefault="002E336E" w:rsidP="008B2742">
            <w:pPr>
              <w:spacing w:line="100" w:lineRule="atLeast"/>
              <w:rPr>
                <w:i/>
              </w:rPr>
            </w:pPr>
          </w:p>
        </w:tc>
      </w:tr>
    </w:tbl>
    <w:p w:rsidR="003E166B" w:rsidRDefault="003E166B"/>
    <w:sectPr w:rsidR="003E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MS-Italic">
    <w:altName w:val="MS Gothic"/>
    <w:charset w:val="80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6E"/>
    <w:rsid w:val="00107913"/>
    <w:rsid w:val="002E336E"/>
    <w:rsid w:val="003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Coty</dc:creator>
  <cp:lastModifiedBy>Coty</cp:lastModifiedBy>
  <cp:revision>2</cp:revision>
  <dcterms:created xsi:type="dcterms:W3CDTF">2017-01-02T02:48:00Z</dcterms:created>
  <dcterms:modified xsi:type="dcterms:W3CDTF">2017-01-02T02:54:00Z</dcterms:modified>
</cp:coreProperties>
</file>